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439D" w14:textId="02D404B0" w:rsidR="00D714B0" w:rsidRPr="005F1917" w:rsidRDefault="00D714B0" w:rsidP="008B39D0">
      <w:pPr>
        <w:rPr>
          <w:rFonts w:asciiTheme="majorEastAsia" w:eastAsiaTheme="majorEastAsia" w:hAnsiTheme="majorEastAsia"/>
          <w:lang w:eastAsia="zh-TW"/>
        </w:rPr>
      </w:pPr>
      <w:r w:rsidRPr="005F191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64FFCCB4">
                <wp:simplePos x="0" y="0"/>
                <wp:positionH relativeFrom="margin">
                  <wp:posOffset>3039745</wp:posOffset>
                </wp:positionH>
                <wp:positionV relativeFrom="paragraph">
                  <wp:posOffset>85725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FB2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239.35pt;margin-top:6.7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zI/dgQIAAJQFAAAOAAAAZHJzL2Uyb0RvYy54bWysVN9PGzEMfp+0/yHK+7hr1Y5RcUUViGkS AjTYeA65hEbKxZmT9tr99XNyPwoM7QHtJXJi+7P9xfbp2a6xbKswGHAVnxyVnCknoTbuqeI/7i8/ feEsROFqYcGpiu9V4GfLjx9OW79QU1iDrRUyAnFh0fqKr2P0i6IIcq0aEY7AK0dKDdiISFd8KmoU LaE3tpiW5eeiBaw9glQh0OtFp+TLjK+1kvFG66AisxWn3GI+MZ+P6SyWp2LxhMKvjezTEO/IohHG UdAR6kJEwTZo/oJqjEQIoOORhKYArY1UuQaqZlK+quZuLbzKtRA5wY80hf8HK6+3d/4WiYbWh0Ug MVWx09gwbY3/SX+a66JM2S7Tth9pU7vIJD1OT+bT4zlnklSzsiznmdaig0lwHkP8qqBhSah4Da1b IUKbkcX2KkSKT/aDXfIJYE19aazNl9QO6twi2wr6yLibpI8jjxdW1r3LkWCSZ3EgIEtxb1XCs+67 0szUqdCccO7NQzJCSuVix1JYi1p1Oc6JiIGH0SPnnAETsqbqRuwe4GWhA3ZXbG+fXFVu7dG5/Fdi nfPokSODi6NzYxzgWwCWquojd/YDSR01iaVHqPe3yBC6wQpeXhr64ysR4q1AmiSaOdoO8YYObaGt OPQSZ2vA32+9J3tqcNJy1tJkVjz82ghUnNlvjlr/ZDKbpVHOl9n8eEoXfK55fK5xm+YcqGcmtIe8 zGKyj3YQNULzQEtklaKSSjhJsSsuIw6X89htDFpDUq1W2YzG14t45e68HGYkte/97kGg7xs90oRc wzDFYvGq1Tvb9B8OVpsI2uQ5OPDa802jnxunX1Nptzy/Z6vDMl3+AQAA//8DAFBLAwQUAAYACAAA ACEAqaco4N4AAAAJAQAADwAAAGRycy9kb3ducmV2LnhtbEyPwU7DMBBE70j8g7VI3KhDwE2VxqkK EtwqQeHSmxu7iUW8DrGTun/PcoLjap5m3lab5Ho2mzFYjxLuFxkwg43XFlsJnx8vdytgISrUqvdo JFxMgE19fVWpUvszvpt5H1tGJRhKJaGLcSg5D01nnAoLPxik7ORHpyKdY8v1qM5U7nqeZ9mSO2WR Fjo1mOfONF/7yUnYXg7pdYqNTfYpnwV+707z207K25u0XQOLJsU/GH71SR1qcjr6CXVgvYTHYlUQ SsGDAEaAyEUO7CihWArgdcX/f1D/AAAA//8DAFBLAQItABQABgAIAAAAIQC2gziS/gAAAOEBAAAT AAAAAAAAAAAAAAAAAAAAAABbQ29udGVudF9UeXBlc10ueG1sUEsBAi0AFAAGAAgAAAAhADj9If/W AAAAlAEAAAsAAAAAAAAAAAAAAAAALwEAAF9yZWxzLy5yZWxzUEsBAi0AFAAGAAgAAAAhACbMj92B AgAAlAUAAA4AAAAAAAAAAAAAAAAALgIAAGRycy9lMm9Eb2MueG1sUEsBAi0AFAAGAAgAAAAhAKmn KODeAAAACQEAAA8AAAAAAAAAAAAAAAAA2wQAAGRycy9kb3ducmV2LnhtbFBLBQYAAAAABAAEAPMA AADmBQAAAAA= " adj="13629" fillcolor="black [3213]" strokecolor="black [3213]" strokeweight="1pt">
                <w10:wrap anchorx="margin"/>
              </v:shape>
            </w:pict>
          </mc:Fallback>
        </mc:AlternateContent>
      </w:r>
      <w:r w:rsidRPr="005F1917">
        <w:rPr>
          <w:rFonts w:asciiTheme="majorEastAsia" w:eastAsiaTheme="majorEastAsia" w:hAnsiTheme="majorEastAsia" w:hint="eastAsia"/>
          <w:lang w:eastAsia="zh-TW"/>
        </w:rPr>
        <w:t xml:space="preserve">昭和大学江東豊洲病院　薬剤部　　　　　　　　　　　　　保険薬局　</w:t>
      </w:r>
      <w:r w:rsidRPr="005F1917">
        <w:rPr>
          <w:rFonts w:asciiTheme="majorEastAsia" w:eastAsiaTheme="majorEastAsia" w:hAnsiTheme="majorEastAsia" w:cs="ＭＳ ゴシック" w:hint="eastAsia"/>
          <w:lang w:eastAsia="zh-TW"/>
        </w:rPr>
        <w:t xml:space="preserve">→　</w:t>
      </w:r>
      <w:r w:rsidRPr="005F1917">
        <w:rPr>
          <w:rFonts w:asciiTheme="majorEastAsia" w:eastAsiaTheme="majorEastAsia" w:hAnsiTheme="majorEastAsia" w:hint="eastAsia"/>
          <w:lang w:eastAsia="zh-TW"/>
        </w:rPr>
        <w:t>昭和大学江東豊洲病院　薬剤部</w:t>
      </w:r>
    </w:p>
    <w:p w14:paraId="776E96C2" w14:textId="07BDEF7D" w:rsidR="002D7B9E" w:rsidRPr="002D7B9E" w:rsidRDefault="00D714B0" w:rsidP="002D7B9E">
      <w:pPr>
        <w:rPr>
          <w:rFonts w:asciiTheme="majorEastAsia" w:eastAsiaTheme="majorEastAsia" w:hAnsiTheme="majorEastAsia"/>
        </w:rPr>
      </w:pPr>
      <w:r w:rsidRPr="00EA433E">
        <w:rPr>
          <w:rFonts w:asciiTheme="majorEastAsia" w:eastAsiaTheme="majorEastAsia" w:hAnsiTheme="majorEastAsia"/>
        </w:rPr>
        <w:t>FAX：</w:t>
      </w:r>
      <w:r>
        <w:rPr>
          <w:rFonts w:asciiTheme="majorEastAsia" w:eastAsiaTheme="majorEastAsia" w:hAnsiTheme="majorEastAsia" w:hint="eastAsia"/>
        </w:rPr>
        <w:t>03-6204-6386</w:t>
      </w:r>
    </w:p>
    <w:p w14:paraId="23F23174" w14:textId="6442F2EF" w:rsidR="009748CC" w:rsidRPr="00D714B0" w:rsidRDefault="00D714B0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A433E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p w14:paraId="4141B374" w14:textId="055CAEC4" w:rsidR="002D7B9E" w:rsidRDefault="005F1917" w:rsidP="002D7B9E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【</w:t>
      </w:r>
      <w:r w:rsidR="002D7B9E">
        <w:rPr>
          <w:rFonts w:asciiTheme="majorEastAsia" w:eastAsiaTheme="majorEastAsia" w:hAnsiTheme="majorEastAsia" w:hint="eastAsia"/>
          <w:sz w:val="36"/>
          <w:szCs w:val="36"/>
        </w:rPr>
        <w:t>薬剤管理サマリーフォロー用</w:t>
      </w:r>
      <w:r>
        <w:rPr>
          <w:rFonts w:asciiTheme="majorEastAsia" w:eastAsiaTheme="majorEastAsia" w:hAnsiTheme="majorEastAsia" w:hint="eastAsia"/>
          <w:sz w:val="36"/>
          <w:szCs w:val="36"/>
        </w:rPr>
        <w:t>】</w:t>
      </w:r>
    </w:p>
    <w:p w14:paraId="59158F4D" w14:textId="77777777" w:rsidR="005B17EA" w:rsidRDefault="005B17EA" w:rsidP="005B17EA">
      <w:pPr>
        <w:ind w:right="210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＜お願い＞</w:t>
      </w:r>
    </w:p>
    <w:p w14:paraId="2B2765CD" w14:textId="107C8768" w:rsidR="005B17EA" w:rsidRPr="005B17EA" w:rsidRDefault="005B17EA" w:rsidP="005B17EA">
      <w:pPr>
        <w:ind w:right="210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薬剤管理サマリー送付後の薬学的フォロー体制について、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薬剤管理</w:t>
      </w: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サマリー作成者にフィードバックし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、必要があれば</w:t>
      </w: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昭和医科大学江東豊洲病院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の主治医に伝達いたします</w:t>
      </w: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ので、昭和医科大学江東豊洲病院以外の医療機関</w:t>
      </w:r>
      <w:r w:rsidR="00210B88">
        <w:rPr>
          <w:rFonts w:asciiTheme="majorEastAsia" w:eastAsiaTheme="majorEastAsia" w:hAnsiTheme="majorEastAsia" w:hint="eastAsia"/>
          <w:b/>
          <w:bCs/>
          <w:sz w:val="20"/>
          <w:szCs w:val="20"/>
        </w:rPr>
        <w:t>の</w:t>
      </w: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処方についても</w:t>
      </w:r>
      <w:r>
        <w:rPr>
          <w:rFonts w:asciiTheme="majorEastAsia" w:eastAsiaTheme="majorEastAsia" w:hAnsiTheme="majorEastAsia" w:hint="eastAsia"/>
          <w:b/>
          <w:bCs/>
          <w:sz w:val="20"/>
          <w:szCs w:val="20"/>
        </w:rPr>
        <w:t>本トレーシングレポートにて</w:t>
      </w:r>
      <w:r w:rsidR="00210B88">
        <w:rPr>
          <w:rFonts w:asciiTheme="majorEastAsia" w:eastAsiaTheme="majorEastAsia" w:hAnsiTheme="majorEastAsia" w:hint="eastAsia"/>
          <w:b/>
          <w:bCs/>
          <w:sz w:val="20"/>
          <w:szCs w:val="20"/>
        </w:rPr>
        <w:t>当院薬剤部へ</w:t>
      </w:r>
      <w:r w:rsidRPr="005B17EA">
        <w:rPr>
          <w:rFonts w:asciiTheme="majorEastAsia" w:eastAsiaTheme="majorEastAsia" w:hAnsiTheme="majorEastAsia" w:hint="eastAsia"/>
          <w:b/>
          <w:bCs/>
          <w:sz w:val="20"/>
          <w:szCs w:val="20"/>
        </w:rPr>
        <w:t>お知らせください。</w:t>
      </w:r>
    </w:p>
    <w:p w14:paraId="3E099B02" w14:textId="77777777" w:rsidR="005B17EA" w:rsidRDefault="005B17EA" w:rsidP="002D7B9E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AC40902" w14:textId="7AB19622" w:rsidR="00CF6484" w:rsidRDefault="005F1917" w:rsidP="00CF648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作成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年月日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CF6484" w:rsidRPr="00CF6484">
        <w:rPr>
          <w:rFonts w:asciiTheme="majorEastAsia" w:eastAsiaTheme="majorEastAsia" w:hAnsiTheme="majorEastAsia" w:hint="eastAsia"/>
          <w:sz w:val="24"/>
          <w:szCs w:val="24"/>
        </w:rPr>
        <w:t xml:space="preserve">日　</w:t>
      </w:r>
      <w:r w:rsidR="008B0D3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CC0452">
        <w:rPr>
          <w:rFonts w:asciiTheme="majorEastAsia" w:eastAsiaTheme="majorEastAsia" w:hAnsiTheme="majorEastAsia" w:hint="eastAsia"/>
          <w:sz w:val="24"/>
          <w:szCs w:val="24"/>
        </w:rPr>
        <w:t>サマリー</w:t>
      </w:r>
      <w:r>
        <w:rPr>
          <w:rFonts w:asciiTheme="majorEastAsia" w:eastAsiaTheme="majorEastAsia" w:hAnsiTheme="majorEastAsia" w:hint="eastAsia"/>
          <w:sz w:val="24"/>
          <w:szCs w:val="24"/>
        </w:rPr>
        <w:t>コード：</w:t>
      </w: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73622">
        <w:trPr>
          <w:jc w:val="center"/>
        </w:trPr>
        <w:tc>
          <w:tcPr>
            <w:tcW w:w="4957" w:type="dxa"/>
            <w:gridSpan w:val="2"/>
          </w:tcPr>
          <w:p w14:paraId="2C447BD5" w14:textId="557BE908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7ECF5CE" w14:textId="19514F68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1D8D5C17" w:rsidR="007C58DC" w:rsidRPr="00EA433E" w:rsidRDefault="008B0D3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73622">
        <w:trPr>
          <w:jc w:val="center"/>
        </w:trPr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68628A5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73622">
        <w:trPr>
          <w:jc w:val="center"/>
        </w:trPr>
        <w:tc>
          <w:tcPr>
            <w:tcW w:w="4957" w:type="dxa"/>
            <w:gridSpan w:val="2"/>
          </w:tcPr>
          <w:p w14:paraId="3F7AD063" w14:textId="484AAF44" w:rsidR="007C58DC" w:rsidRDefault="00000000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6DA79AD8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8"/>
        <w:gridCol w:w="2549"/>
      </w:tblGrid>
      <w:tr w:rsidR="00384F56" w14:paraId="636CA3DC" w14:textId="77777777" w:rsidTr="005B17EA">
        <w:trPr>
          <w:trHeight w:val="3960"/>
        </w:trPr>
        <w:tc>
          <w:tcPr>
            <w:tcW w:w="10194" w:type="dxa"/>
            <w:gridSpan w:val="4"/>
            <w:vAlign w:val="center"/>
          </w:tcPr>
          <w:p w14:paraId="0CB81FEF" w14:textId="6449F317" w:rsidR="00384F56" w:rsidRDefault="002D7B9E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薬剤管理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>サマリーの内容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で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以下の対応をしました（複数選択可）</w:t>
            </w:r>
          </w:p>
          <w:p w14:paraId="00048B29" w14:textId="00D1151A" w:rsidR="00384F56" w:rsidRDefault="00000000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9568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4F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F56"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継続処方の内容について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>疑義照会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を行った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2332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4F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 一包化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の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>追加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・削除した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　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776321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4F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 残薬調整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した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  <w:p w14:paraId="0F418924" w14:textId="2BCB1AA1" w:rsidR="002D7B9E" w:rsidRDefault="00000000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20032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4F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 ポリファーマシー患者の薬剤調整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に活用した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327366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D7B9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D7B9E">
              <w:rPr>
                <w:rFonts w:asciiTheme="majorEastAsia" w:eastAsiaTheme="majorEastAsia" w:hAnsiTheme="majorEastAsia" w:hint="eastAsia"/>
                <w:szCs w:val="21"/>
              </w:rPr>
              <w:t xml:space="preserve"> 服薬指導</w:t>
            </w:r>
            <w:r w:rsidR="006021E1">
              <w:rPr>
                <w:rFonts w:asciiTheme="majorEastAsia" w:eastAsiaTheme="majorEastAsia" w:hAnsiTheme="majorEastAsia" w:hint="eastAsia"/>
                <w:szCs w:val="21"/>
              </w:rPr>
              <w:t>時に説明内容の充実などに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活用した</w:t>
            </w:r>
          </w:p>
          <w:p w14:paraId="55494091" w14:textId="2D59AEBC" w:rsidR="002D7B9E" w:rsidRPr="002D7B9E" w:rsidRDefault="00000000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415824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4F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 調剤後のフォロー（</w:t>
            </w:r>
            <w:r w:rsidR="002D7B9E" w:rsidRPr="002D7B9E">
              <w:rPr>
                <w:rFonts w:asciiTheme="majorEastAsia" w:eastAsiaTheme="majorEastAsia" w:hAnsiTheme="majorEastAsia"/>
                <w:szCs w:val="21"/>
              </w:rPr>
              <w:t>調剤後薬剤管理指導料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など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に活用した</w:t>
            </w:r>
          </w:p>
          <w:p w14:paraId="37320DE9" w14:textId="1855B29E" w:rsidR="00384F56" w:rsidRDefault="00000000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52991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84F5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 その他（　　　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384F56">
              <w:rPr>
                <w:rFonts w:asciiTheme="majorEastAsia" w:eastAsiaTheme="majorEastAsia" w:hAnsiTheme="majorEastAsia" w:hint="eastAsia"/>
                <w:szCs w:val="21"/>
              </w:rPr>
              <w:t xml:space="preserve">　　　）</w:t>
            </w:r>
          </w:p>
          <w:p w14:paraId="15D9B907" w14:textId="32DAE0CD" w:rsidR="00384F56" w:rsidRDefault="00384F56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情報提供</w:t>
            </w:r>
            <w:r w:rsidR="002D7B9E">
              <w:rPr>
                <w:rFonts w:asciiTheme="majorEastAsia" w:eastAsiaTheme="majorEastAsia" w:hAnsiTheme="majorEastAsia" w:hint="eastAsia"/>
                <w:szCs w:val="21"/>
              </w:rPr>
              <w:t>内容・提案内容（上記の詳細な内容）</w:t>
            </w:r>
          </w:p>
          <w:p w14:paraId="7DB346BC" w14:textId="77777777" w:rsidR="00384F56" w:rsidRDefault="00384F56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A44812" w14:textId="77777777" w:rsidR="009C6C0C" w:rsidRDefault="009C6C0C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55D63C9" w14:textId="77777777" w:rsidR="005B17EA" w:rsidRDefault="005B17EA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50BE507" w14:textId="77777777" w:rsidR="002D7B9E" w:rsidRDefault="002D7B9E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6595295" w14:textId="77777777" w:rsidR="005B17EA" w:rsidRDefault="005B17EA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B5AE44" w14:textId="77777777" w:rsidR="005B17EA" w:rsidRDefault="005B17EA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93E163C" w14:textId="77777777" w:rsidR="005B17EA" w:rsidRDefault="005B17EA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2EAC3F6" w14:textId="0D8F8ABE" w:rsidR="00384F56" w:rsidRDefault="00384F56" w:rsidP="00384F5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4F56" w:rsidRPr="00804244" w14:paraId="5CC452DA" w14:textId="77777777" w:rsidTr="005B17EA">
        <w:trPr>
          <w:trHeight w:val="3822"/>
        </w:trPr>
        <w:tc>
          <w:tcPr>
            <w:tcW w:w="10194" w:type="dxa"/>
            <w:gridSpan w:val="4"/>
          </w:tcPr>
          <w:p w14:paraId="2F31FC56" w14:textId="77777777" w:rsidR="00384F56" w:rsidRDefault="00384F56" w:rsidP="001F4D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病院薬剤師記入欄</w:t>
            </w:r>
          </w:p>
          <w:p w14:paraId="2BAA3560" w14:textId="77777777" w:rsidR="00384F56" w:rsidRDefault="00384F56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トレーシングレポートの内容について確認し、カルテ記載を行いました</w:t>
            </w:r>
          </w:p>
          <w:p w14:paraId="3BCE7E50" w14:textId="77777777" w:rsidR="00384F56" w:rsidRDefault="00384F56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トレーシングレポートの内容について、カルテ上の患者掲示板にて医師へ情報共有しました</w:t>
            </w:r>
          </w:p>
          <w:p w14:paraId="7BD0A61D" w14:textId="77777777" w:rsidR="00384F56" w:rsidRDefault="00384F56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トレーシングレポートの内容について、カルテ上の患者掲示板にて医師へ処方変更の依頼をしました</w:t>
            </w:r>
          </w:p>
          <w:p w14:paraId="0E81ABB0" w14:textId="77777777" w:rsidR="00384F56" w:rsidRDefault="00384F56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トレーシングレポートの内容について、カルテ上および直接、医師へ情報共有しました</w:t>
            </w:r>
          </w:p>
          <w:p w14:paraId="1FA429E0" w14:textId="77777777" w:rsidR="00384F56" w:rsidRPr="004F731F" w:rsidRDefault="00384F56" w:rsidP="004F731F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トレーシングレポートの内容について、カルテ上および直接、医師へ処方変更の依頼をしました</w:t>
            </w:r>
          </w:p>
          <w:p w14:paraId="77E72CEB" w14:textId="77777777" w:rsidR="00384F56" w:rsidRPr="0055221A" w:rsidRDefault="00384F56" w:rsidP="0055221A">
            <w:pPr>
              <w:ind w:left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5221A">
              <w:rPr>
                <w:rFonts w:asciiTheme="majorEastAsia" w:eastAsiaTheme="majorEastAsia" w:hAnsiTheme="majorEastAsia" w:hint="eastAsia"/>
                <w:sz w:val="18"/>
                <w:szCs w:val="18"/>
              </w:rPr>
              <w:t>※患者掲示板とは、カルテを開いた際に最初に表示される画面であり、医療者間で情報共有に使用するものです</w:t>
            </w:r>
          </w:p>
          <w:p w14:paraId="40C84DAF" w14:textId="5F58FF4D" w:rsidR="009C6C0C" w:rsidRDefault="00384F56" w:rsidP="001F4DF3">
            <w:pPr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【特記事項】</w:t>
            </w:r>
          </w:p>
          <w:p w14:paraId="2416A40D" w14:textId="77777777" w:rsidR="009C6C0C" w:rsidRDefault="009C6C0C" w:rsidP="002D7B9E">
            <w:pPr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14:paraId="360B6A52" w14:textId="77777777" w:rsidR="002D7B9E" w:rsidRDefault="002D7B9E" w:rsidP="002D7B9E">
            <w:pPr>
              <w:rPr>
                <w:rFonts w:asciiTheme="majorEastAsia" w:eastAsiaTheme="majorEastAsia" w:hAnsiTheme="majorEastAsia"/>
                <w:sz w:val="20"/>
                <w:szCs w:val="20"/>
                <w:lang w:eastAsia="zh-CN"/>
              </w:rPr>
            </w:pPr>
          </w:p>
          <w:p w14:paraId="13CD4D83" w14:textId="6CBEF98E" w:rsidR="00384F56" w:rsidRPr="00487439" w:rsidRDefault="00384F56" w:rsidP="0048743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次回外来：　　　　　　　　　　　　対応薬剤師：</w:t>
            </w:r>
          </w:p>
        </w:tc>
      </w:tr>
      <w:tr w:rsidR="00384F56" w:rsidRPr="00804244" w14:paraId="79888840" w14:textId="77777777" w:rsidTr="00CC0452">
        <w:trPr>
          <w:trHeight w:val="50"/>
        </w:trPr>
        <w:tc>
          <w:tcPr>
            <w:tcW w:w="2548" w:type="dxa"/>
            <w:vAlign w:val="center"/>
          </w:tcPr>
          <w:p w14:paraId="5D5B1788" w14:textId="52EF64EF" w:rsidR="00384F56" w:rsidRPr="00384F56" w:rsidRDefault="00384F56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FAX送信：</w:t>
            </w:r>
          </w:p>
        </w:tc>
        <w:tc>
          <w:tcPr>
            <w:tcW w:w="2549" w:type="dxa"/>
            <w:vAlign w:val="center"/>
          </w:tcPr>
          <w:p w14:paraId="0DC967AB" w14:textId="0606B47E" w:rsidR="00384F56" w:rsidRPr="007B50B3" w:rsidRDefault="009C6C0C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6C0C">
              <w:rPr>
                <w:rFonts w:asciiTheme="majorEastAsia" w:eastAsiaTheme="majorEastAsia" w:hAnsiTheme="majorEastAsia" w:hint="eastAsia"/>
                <w:sz w:val="20"/>
                <w:szCs w:val="20"/>
              </w:rPr>
              <w:t>CDS取り込み：</w:t>
            </w:r>
          </w:p>
        </w:tc>
        <w:tc>
          <w:tcPr>
            <w:tcW w:w="2548" w:type="dxa"/>
            <w:vAlign w:val="center"/>
          </w:tcPr>
          <w:p w14:paraId="029AB981" w14:textId="2A0D94C0" w:rsidR="00384F56" w:rsidRPr="004F731F" w:rsidRDefault="009C6C0C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6C0C">
              <w:rPr>
                <w:rFonts w:asciiTheme="majorEastAsia" w:eastAsiaTheme="majorEastAsia" w:hAnsiTheme="majorEastAsia" w:hint="eastAsia"/>
                <w:sz w:val="20"/>
                <w:szCs w:val="20"/>
              </w:rPr>
              <w:t>カルテ入力①：</w:t>
            </w:r>
          </w:p>
        </w:tc>
        <w:tc>
          <w:tcPr>
            <w:tcW w:w="2549" w:type="dxa"/>
            <w:vAlign w:val="center"/>
          </w:tcPr>
          <w:p w14:paraId="733CAB67" w14:textId="646BA39B" w:rsidR="00384F56" w:rsidRPr="007B50B3" w:rsidRDefault="009C6C0C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6C0C">
              <w:rPr>
                <w:rFonts w:asciiTheme="majorEastAsia" w:eastAsiaTheme="majorEastAsia" w:hAnsiTheme="majorEastAsia" w:hint="eastAsia"/>
                <w:sz w:val="20"/>
                <w:szCs w:val="20"/>
              </w:rPr>
              <w:t>カルテ入力②：</w:t>
            </w:r>
          </w:p>
        </w:tc>
      </w:tr>
    </w:tbl>
    <w:p w14:paraId="590C56A1" w14:textId="5AC674F9" w:rsidR="004E6C8F" w:rsidRPr="005B17EA" w:rsidRDefault="004E6C8F" w:rsidP="005B17EA">
      <w:pPr>
        <w:ind w:right="210"/>
        <w:jc w:val="left"/>
        <w:rPr>
          <w:rFonts w:asciiTheme="majorEastAsia" w:eastAsiaTheme="majorEastAsia" w:hAnsiTheme="majorEastAsia"/>
          <w:b/>
          <w:bCs/>
          <w:sz w:val="20"/>
          <w:szCs w:val="20"/>
        </w:rPr>
      </w:pPr>
    </w:p>
    <w:sectPr w:rsidR="004E6C8F" w:rsidRPr="005B17EA" w:rsidSect="00E73622">
      <w:pgSz w:w="11906" w:h="16838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153F" w14:textId="77777777" w:rsidR="00E922B2" w:rsidRDefault="00E922B2" w:rsidP="000A061A">
      <w:r>
        <w:separator/>
      </w:r>
    </w:p>
  </w:endnote>
  <w:endnote w:type="continuationSeparator" w:id="0">
    <w:p w14:paraId="7151E900" w14:textId="77777777" w:rsidR="00E922B2" w:rsidRDefault="00E922B2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F7D7" w14:textId="77777777" w:rsidR="00E922B2" w:rsidRDefault="00E922B2" w:rsidP="000A061A">
      <w:r>
        <w:separator/>
      </w:r>
    </w:p>
  </w:footnote>
  <w:footnote w:type="continuationSeparator" w:id="0">
    <w:p w14:paraId="3D38ABE5" w14:textId="77777777" w:rsidR="00E922B2" w:rsidRDefault="00E922B2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424D"/>
    <w:multiLevelType w:val="hybridMultilevel"/>
    <w:tmpl w:val="2B5A7EA6"/>
    <w:lvl w:ilvl="0" w:tplc="1F7676E8"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145273198">
    <w:abstractNumId w:val="1"/>
  </w:num>
  <w:num w:numId="2" w16cid:durableId="16043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F9"/>
    <w:rsid w:val="0000599E"/>
    <w:rsid w:val="0001284D"/>
    <w:rsid w:val="00012FE9"/>
    <w:rsid w:val="000143D5"/>
    <w:rsid w:val="0002441D"/>
    <w:rsid w:val="0005016B"/>
    <w:rsid w:val="00053494"/>
    <w:rsid w:val="00077903"/>
    <w:rsid w:val="00086692"/>
    <w:rsid w:val="000A061A"/>
    <w:rsid w:val="000B1A92"/>
    <w:rsid w:val="000C5669"/>
    <w:rsid w:val="000D4F37"/>
    <w:rsid w:val="000F7E6D"/>
    <w:rsid w:val="001001C0"/>
    <w:rsid w:val="00110A45"/>
    <w:rsid w:val="00117389"/>
    <w:rsid w:val="001343C4"/>
    <w:rsid w:val="00137631"/>
    <w:rsid w:val="00144E24"/>
    <w:rsid w:val="00153B76"/>
    <w:rsid w:val="00153C98"/>
    <w:rsid w:val="001544AA"/>
    <w:rsid w:val="00163A1F"/>
    <w:rsid w:val="00170FE7"/>
    <w:rsid w:val="00183DD1"/>
    <w:rsid w:val="00195075"/>
    <w:rsid w:val="001A7611"/>
    <w:rsid w:val="001B10DD"/>
    <w:rsid w:val="001B3DCB"/>
    <w:rsid w:val="001C081D"/>
    <w:rsid w:val="001D316F"/>
    <w:rsid w:val="001D7833"/>
    <w:rsid w:val="001F4DF3"/>
    <w:rsid w:val="001F6B35"/>
    <w:rsid w:val="00210B88"/>
    <w:rsid w:val="0022345B"/>
    <w:rsid w:val="002259B8"/>
    <w:rsid w:val="00233227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B5957"/>
    <w:rsid w:val="002C2311"/>
    <w:rsid w:val="002D0F3E"/>
    <w:rsid w:val="002D2390"/>
    <w:rsid w:val="002D3C4F"/>
    <w:rsid w:val="002D7B9E"/>
    <w:rsid w:val="002F05CC"/>
    <w:rsid w:val="002F5819"/>
    <w:rsid w:val="00306669"/>
    <w:rsid w:val="00324C60"/>
    <w:rsid w:val="00340BF3"/>
    <w:rsid w:val="003739B5"/>
    <w:rsid w:val="00384F56"/>
    <w:rsid w:val="003A2CC9"/>
    <w:rsid w:val="003A3067"/>
    <w:rsid w:val="003B596A"/>
    <w:rsid w:val="003E1366"/>
    <w:rsid w:val="003F07B9"/>
    <w:rsid w:val="00410C92"/>
    <w:rsid w:val="0041553E"/>
    <w:rsid w:val="004178FA"/>
    <w:rsid w:val="00435B48"/>
    <w:rsid w:val="00444A85"/>
    <w:rsid w:val="004815F9"/>
    <w:rsid w:val="00487439"/>
    <w:rsid w:val="004D5D75"/>
    <w:rsid w:val="004E6C8F"/>
    <w:rsid w:val="004F731F"/>
    <w:rsid w:val="0050128B"/>
    <w:rsid w:val="005041F4"/>
    <w:rsid w:val="00517A37"/>
    <w:rsid w:val="00521062"/>
    <w:rsid w:val="0053611E"/>
    <w:rsid w:val="005513B3"/>
    <w:rsid w:val="0055221A"/>
    <w:rsid w:val="00572E62"/>
    <w:rsid w:val="00573718"/>
    <w:rsid w:val="005862DD"/>
    <w:rsid w:val="00591544"/>
    <w:rsid w:val="00596BB7"/>
    <w:rsid w:val="005B17EA"/>
    <w:rsid w:val="005C24F6"/>
    <w:rsid w:val="005D6731"/>
    <w:rsid w:val="005F1917"/>
    <w:rsid w:val="005F5135"/>
    <w:rsid w:val="0060072E"/>
    <w:rsid w:val="006021E1"/>
    <w:rsid w:val="0064202C"/>
    <w:rsid w:val="00650A2E"/>
    <w:rsid w:val="00684ADC"/>
    <w:rsid w:val="0069423B"/>
    <w:rsid w:val="006C6AD3"/>
    <w:rsid w:val="006D21EB"/>
    <w:rsid w:val="006E0143"/>
    <w:rsid w:val="006E0D34"/>
    <w:rsid w:val="006E43D7"/>
    <w:rsid w:val="0071152A"/>
    <w:rsid w:val="00720695"/>
    <w:rsid w:val="00753E1F"/>
    <w:rsid w:val="007621EE"/>
    <w:rsid w:val="007B50B3"/>
    <w:rsid w:val="007B5E32"/>
    <w:rsid w:val="007C2666"/>
    <w:rsid w:val="007C58DC"/>
    <w:rsid w:val="007D326F"/>
    <w:rsid w:val="007D492F"/>
    <w:rsid w:val="007D4AC0"/>
    <w:rsid w:val="007F27EE"/>
    <w:rsid w:val="007F4385"/>
    <w:rsid w:val="00804244"/>
    <w:rsid w:val="00820066"/>
    <w:rsid w:val="00820F37"/>
    <w:rsid w:val="00826B1B"/>
    <w:rsid w:val="00834804"/>
    <w:rsid w:val="0088477A"/>
    <w:rsid w:val="008A0B8A"/>
    <w:rsid w:val="008B0D3B"/>
    <w:rsid w:val="008B39D0"/>
    <w:rsid w:val="008C3521"/>
    <w:rsid w:val="008C486C"/>
    <w:rsid w:val="008D0029"/>
    <w:rsid w:val="008D6ACC"/>
    <w:rsid w:val="008E5547"/>
    <w:rsid w:val="008F733E"/>
    <w:rsid w:val="00907649"/>
    <w:rsid w:val="00917B9E"/>
    <w:rsid w:val="00927AD5"/>
    <w:rsid w:val="00946927"/>
    <w:rsid w:val="0095337A"/>
    <w:rsid w:val="0096304F"/>
    <w:rsid w:val="00971D4F"/>
    <w:rsid w:val="009748CC"/>
    <w:rsid w:val="0099758C"/>
    <w:rsid w:val="009B1B96"/>
    <w:rsid w:val="009B2701"/>
    <w:rsid w:val="009B4E41"/>
    <w:rsid w:val="009C6088"/>
    <w:rsid w:val="009C6C0C"/>
    <w:rsid w:val="009E7316"/>
    <w:rsid w:val="00A02F33"/>
    <w:rsid w:val="00A264A9"/>
    <w:rsid w:val="00A303DE"/>
    <w:rsid w:val="00A30FC4"/>
    <w:rsid w:val="00A37477"/>
    <w:rsid w:val="00A4202A"/>
    <w:rsid w:val="00A63A48"/>
    <w:rsid w:val="00A66CC5"/>
    <w:rsid w:val="00A7612A"/>
    <w:rsid w:val="00A94358"/>
    <w:rsid w:val="00AA1D48"/>
    <w:rsid w:val="00AC577F"/>
    <w:rsid w:val="00B54B39"/>
    <w:rsid w:val="00B56392"/>
    <w:rsid w:val="00B644EF"/>
    <w:rsid w:val="00B67BE7"/>
    <w:rsid w:val="00B734E7"/>
    <w:rsid w:val="00B77A0C"/>
    <w:rsid w:val="00B80318"/>
    <w:rsid w:val="00B84633"/>
    <w:rsid w:val="00B9170D"/>
    <w:rsid w:val="00BA45EF"/>
    <w:rsid w:val="00BA5215"/>
    <w:rsid w:val="00BC14C4"/>
    <w:rsid w:val="00BC2130"/>
    <w:rsid w:val="00C00771"/>
    <w:rsid w:val="00C02AE7"/>
    <w:rsid w:val="00C157D9"/>
    <w:rsid w:val="00C300B0"/>
    <w:rsid w:val="00C62F28"/>
    <w:rsid w:val="00C8385D"/>
    <w:rsid w:val="00C87387"/>
    <w:rsid w:val="00CA63B0"/>
    <w:rsid w:val="00CA7446"/>
    <w:rsid w:val="00CB104F"/>
    <w:rsid w:val="00CB175A"/>
    <w:rsid w:val="00CC0452"/>
    <w:rsid w:val="00CC398D"/>
    <w:rsid w:val="00CC48D1"/>
    <w:rsid w:val="00CD2147"/>
    <w:rsid w:val="00CE6311"/>
    <w:rsid w:val="00CF1A90"/>
    <w:rsid w:val="00CF6484"/>
    <w:rsid w:val="00D0051A"/>
    <w:rsid w:val="00D022CE"/>
    <w:rsid w:val="00D30058"/>
    <w:rsid w:val="00D33D14"/>
    <w:rsid w:val="00D4130F"/>
    <w:rsid w:val="00D461F1"/>
    <w:rsid w:val="00D70E8D"/>
    <w:rsid w:val="00D714B0"/>
    <w:rsid w:val="00D843B3"/>
    <w:rsid w:val="00DB1718"/>
    <w:rsid w:val="00DB72E8"/>
    <w:rsid w:val="00DC53DD"/>
    <w:rsid w:val="00DD35E8"/>
    <w:rsid w:val="00DD61E2"/>
    <w:rsid w:val="00DF3E8B"/>
    <w:rsid w:val="00E122CD"/>
    <w:rsid w:val="00E44244"/>
    <w:rsid w:val="00E5271E"/>
    <w:rsid w:val="00E55FB6"/>
    <w:rsid w:val="00E57CE7"/>
    <w:rsid w:val="00E62C8D"/>
    <w:rsid w:val="00E73622"/>
    <w:rsid w:val="00E834C1"/>
    <w:rsid w:val="00E91E7E"/>
    <w:rsid w:val="00E922B2"/>
    <w:rsid w:val="00E951F2"/>
    <w:rsid w:val="00EA433E"/>
    <w:rsid w:val="00EB036D"/>
    <w:rsid w:val="00EB1174"/>
    <w:rsid w:val="00EE658B"/>
    <w:rsid w:val="00EF1A6E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EF3"/>
    <w:rsid w:val="00FA774A"/>
    <w:rsid w:val="00FC5501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5100B"/>
  <w15:docId w15:val="{D52D4EF2-1E8D-40CB-80CF-24C5A6E3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F124-8FD2-4839-8ABE-760CF8B9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トレーシングレポート Ver.3.docx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トレーシングレポート Ver.3.docx</dc:title>
  <dc:creator>resident1</dc:creator>
  <cp:lastModifiedBy>江東豊洲薬剤部01</cp:lastModifiedBy>
  <cp:revision>7</cp:revision>
  <cp:lastPrinted>2025-12-01T10:40:00Z</cp:lastPrinted>
  <dcterms:created xsi:type="dcterms:W3CDTF">2025-12-01T09:58:00Z</dcterms:created>
  <dcterms:modified xsi:type="dcterms:W3CDTF">2025-12-02T03:52:00Z</dcterms:modified>
</cp:coreProperties>
</file>